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00" w:lineRule="exact"/>
        <w:jc w:val="left"/>
        <w:rPr>
          <w:rFonts w:hint="eastAsia" w:ascii="黑体" w:eastAsia="黑体" w:cs="黑体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eastAsia="黑体" w:cs="黑体"/>
          <w:sz w:val="32"/>
          <w:szCs w:val="32"/>
        </w:rPr>
        <w:t>附件2</w:t>
      </w:r>
      <w:r>
        <w:rPr>
          <w:rFonts w:hint="eastAsia" w:ascii="黑体" w:eastAsia="黑体" w:cs="黑体"/>
          <w:sz w:val="32"/>
          <w:szCs w:val="32"/>
          <w:lang w:eastAsia="zh-CN"/>
        </w:rPr>
        <w:t>：</w:t>
      </w:r>
    </w:p>
    <w:p>
      <w:pPr>
        <w:autoSpaceDE w:val="0"/>
        <w:autoSpaceDN w:val="0"/>
        <w:adjustRightInd w:val="0"/>
        <w:spacing w:line="600" w:lineRule="exact"/>
        <w:jc w:val="left"/>
        <w:rPr>
          <w:rFonts w:hint="eastAsia" w:ascii="黑体" w:eastAsia="黑体" w:cs="黑体"/>
          <w:sz w:val="32"/>
          <w:szCs w:val="32"/>
          <w:lang w:eastAsia="zh-CN"/>
        </w:rPr>
      </w:pPr>
    </w:p>
    <w:p>
      <w:pPr>
        <w:autoSpaceDE w:val="0"/>
        <w:autoSpaceDN w:val="0"/>
        <w:adjustRightInd w:val="0"/>
        <w:spacing w:before="156" w:beforeLines="50" w:after="156" w:afterLines="50" w:line="600" w:lineRule="exact"/>
        <w:jc w:val="center"/>
        <w:rPr>
          <w:rFonts w:hint="eastAsia" w:ascii="方正小标宋简体" w:hAnsi="华文中宋" w:eastAsia="方正小标宋简体" w:cs="仿宋_GB2312"/>
          <w:sz w:val="44"/>
          <w:szCs w:val="44"/>
        </w:rPr>
      </w:pPr>
      <w:r>
        <w:rPr>
          <w:rFonts w:hint="eastAsia" w:ascii="方正小标宋简体" w:hAnsi="华文中宋" w:eastAsia="方正小标宋简体" w:cs="仿宋_GB2312"/>
          <w:sz w:val="44"/>
          <w:szCs w:val="44"/>
        </w:rPr>
        <w:t>兰州工业学院</w:t>
      </w:r>
    </w:p>
    <w:p>
      <w:pPr>
        <w:autoSpaceDE w:val="0"/>
        <w:autoSpaceDN w:val="0"/>
        <w:adjustRightInd w:val="0"/>
        <w:spacing w:before="156" w:beforeLines="50" w:after="156" w:afterLines="50" w:line="600" w:lineRule="exact"/>
        <w:jc w:val="center"/>
        <w:rPr>
          <w:rFonts w:hint="eastAsia" w:ascii="方正小标宋简体" w:hAnsi="华文中宋" w:eastAsia="方正小标宋简体" w:cs="仿宋_GB2312"/>
          <w:sz w:val="44"/>
          <w:szCs w:val="44"/>
        </w:rPr>
      </w:pPr>
      <w:r>
        <w:rPr>
          <w:rFonts w:hint="eastAsia" w:ascii="方正小标宋简体" w:hAnsi="华文中宋" w:eastAsia="方正小标宋简体" w:cs="仿宋_GB2312"/>
          <w:sz w:val="44"/>
          <w:szCs w:val="44"/>
        </w:rPr>
        <w:t>第</w:t>
      </w:r>
      <w:r>
        <w:rPr>
          <w:rFonts w:hint="eastAsia" w:ascii="方正小标宋简体" w:hAnsi="华文中宋" w:eastAsia="方正小标宋简体" w:cs="仿宋_GB2312"/>
          <w:sz w:val="44"/>
          <w:szCs w:val="44"/>
          <w:lang w:val="en-US" w:eastAsia="zh-CN"/>
        </w:rPr>
        <w:t>五</w:t>
      </w:r>
      <w:r>
        <w:rPr>
          <w:rFonts w:hint="eastAsia" w:ascii="方正小标宋简体" w:hAnsi="华文中宋" w:eastAsia="方正小标宋简体" w:cs="仿宋_GB2312"/>
          <w:sz w:val="44"/>
          <w:szCs w:val="44"/>
        </w:rPr>
        <w:t>届国学经典诗文诵读比赛</w:t>
      </w:r>
    </w:p>
    <w:p>
      <w:pPr>
        <w:autoSpaceDE w:val="0"/>
        <w:autoSpaceDN w:val="0"/>
        <w:adjustRightInd w:val="0"/>
        <w:spacing w:before="156" w:beforeLines="50" w:after="156" w:afterLines="50" w:line="600" w:lineRule="exact"/>
        <w:jc w:val="center"/>
        <w:rPr>
          <w:rFonts w:hint="eastAsia" w:ascii="方正小标宋简体" w:hAnsi="华文中宋" w:eastAsia="方正小标宋简体" w:cs="仿宋_GB2312"/>
          <w:sz w:val="44"/>
          <w:szCs w:val="44"/>
        </w:rPr>
      </w:pPr>
      <w:r>
        <w:rPr>
          <w:rFonts w:hint="eastAsia" w:ascii="方正小标宋简体" w:hAnsi="华文中宋" w:eastAsia="方正小标宋简体" w:cs="仿宋_GB2312"/>
          <w:sz w:val="44"/>
          <w:szCs w:val="44"/>
          <w:lang w:val="en-US" w:eastAsia="zh-CN"/>
        </w:rPr>
        <w:t>实施方案及</w:t>
      </w:r>
      <w:r>
        <w:rPr>
          <w:rFonts w:hint="eastAsia" w:ascii="方正小标宋简体" w:hAnsi="华文中宋" w:eastAsia="方正小标宋简体" w:cs="仿宋_GB2312"/>
          <w:sz w:val="44"/>
          <w:szCs w:val="44"/>
        </w:rPr>
        <w:t>细则</w:t>
      </w:r>
    </w:p>
    <w:p>
      <w:pPr>
        <w:pStyle w:val="9"/>
        <w:spacing w:line="600" w:lineRule="exact"/>
        <w:ind w:firstLine="640" w:firstLineChars="200"/>
        <w:jc w:val="both"/>
        <w:rPr>
          <w:rFonts w:ascii="黑体" w:hAnsi="黑体" w:eastAsia="黑体" w:cs="仿宋_GB2312"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color w:val="auto"/>
          <w:sz w:val="32"/>
          <w:szCs w:val="32"/>
        </w:rPr>
        <w:t>一、大赛简介</w:t>
      </w:r>
    </w:p>
    <w:p>
      <w:pPr>
        <w:pStyle w:val="9"/>
        <w:spacing w:line="600" w:lineRule="exact"/>
        <w:ind w:firstLine="640" w:firstLineChars="200"/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国学经典诗文诵读比赛是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  <w:t>根据《国家中长期语言文字事业改革和发展规划纲要(2012—2020年)》及学校《关于深入开展“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红色基因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  <w:t>”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宣传教育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  <w:t>的通知》等相关文件精神，</w:t>
      </w:r>
      <w:r>
        <w:rPr>
          <w:rFonts w:hint="eastAsia" w:ascii="仿宋" w:hAnsi="仿宋" w:eastAsia="仿宋" w:cs="仿宋_GB2312"/>
          <w:color w:val="0000FF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仿宋_GB2312"/>
          <w:color w:val="0000FF"/>
          <w:sz w:val="32"/>
          <w:szCs w:val="32"/>
          <w:lang w:val="zh-CN" w:eastAsia="zh-CN"/>
        </w:rPr>
        <w:t>深入学习贯彻落实习近平新时代中国特色社会主义思想、党的十九大精神和党的十九届四中全会精神，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  <w:t>进一步提高青年学子的语言文化素质，继承和弘扬中华优秀传统文化。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创新创业学院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  <w:t>、团委、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学工部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  <w:t>联合主办，马克思主义学院承办，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由各学院组织初赛，每个学院选拔推荐两支优秀代表队参加学校决赛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  <w:t>。</w:t>
      </w:r>
    </w:p>
    <w:p>
      <w:pPr>
        <w:pStyle w:val="9"/>
        <w:spacing w:line="600" w:lineRule="exact"/>
        <w:ind w:firstLine="640" w:firstLineChars="200"/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国学经典诵读是大学生践行文化自觉的社会实践活动，是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  <w:t>“读书点亮心灵，书香润泽人生”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的素质教育课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红色经典诵读是弘扬文化自觉中革命文化精神的主要方式之一。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  <w:t>通过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诵读红色经典文学原著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  <w:t>，潜移默化地传承红色基因、牢记时代使命，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结合“不忘初心、牢记使命”主题教育活动，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  <w:t>使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我校学子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  <w:t>逐步养成“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读原著、学原文、悟原理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  <w:t>”的良好风气，进一步丰富知识，陶冶情操，更新观念，牢固树立正确的世界观、价值观、人生观，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通过竞赛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 w:eastAsia="zh-CN"/>
        </w:rPr>
        <w:t>达到互相学习、互相促进、共同提高的目的，激励青年学生自觉把个人的理想追求融入国家和民族的事业中，成为担当民族复兴大任的时代新人。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仿宋_GB2312"/>
          <w:kern w:val="0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时间安排</w:t>
      </w:r>
    </w:p>
    <w:p>
      <w:pPr>
        <w:pStyle w:val="9"/>
        <w:spacing w:line="600" w:lineRule="exact"/>
        <w:ind w:firstLine="640" w:firstLineChars="200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本次比赛时间安排如下：</w:t>
      </w:r>
    </w:p>
    <w:p>
      <w:pPr>
        <w:pStyle w:val="9"/>
        <w:spacing w:line="600" w:lineRule="exact"/>
        <w:ind w:firstLine="640" w:firstLineChars="200"/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第一阶段201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年1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月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下旬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—1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月初，各学院初赛。</w:t>
      </w:r>
    </w:p>
    <w:p>
      <w:pPr>
        <w:pStyle w:val="9"/>
        <w:spacing w:line="600" w:lineRule="exact"/>
        <w:ind w:firstLine="640" w:firstLineChars="200"/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第二阶段201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年1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月</w:t>
      </w: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中旬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各学院填报决赛选手推荐表。</w:t>
      </w:r>
    </w:p>
    <w:p>
      <w:pPr>
        <w:pStyle w:val="9"/>
        <w:spacing w:line="600" w:lineRule="exact"/>
        <w:ind w:firstLine="640" w:firstLineChars="200"/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第三阶段201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年1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月</w:t>
      </w: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下旬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，校级决赛（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具体时间另行通知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）。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三、报名须知</w:t>
      </w:r>
    </w:p>
    <w:p>
      <w:pPr>
        <w:pStyle w:val="9"/>
        <w:spacing w:line="600" w:lineRule="exact"/>
        <w:ind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sz w:val="32"/>
          <w:szCs w:val="32"/>
          <w:lang w:val="zh-CN"/>
        </w:rPr>
        <w:t>（一）参赛对象：全体在校学生</w:t>
      </w:r>
    </w:p>
    <w:p>
      <w:pPr>
        <w:pStyle w:val="9"/>
        <w:spacing w:line="600" w:lineRule="exact"/>
        <w:ind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sz w:val="32"/>
          <w:szCs w:val="32"/>
          <w:lang w:val="zh-CN"/>
        </w:rPr>
        <w:t>（二）参赛队报名：参加决赛的选手由各学院初赛产生，各学院推荐2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队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（组）选手参加决赛，每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队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参赛人数不超过5人，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朗诵作品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可以在报名时间截止前确定。</w:t>
      </w:r>
    </w:p>
    <w:p>
      <w:pPr>
        <w:pStyle w:val="9"/>
        <w:spacing w:line="600" w:lineRule="exact"/>
        <w:ind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zh-CN" w:eastAsia="zh-CN"/>
        </w:rPr>
        <w:t>（三）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朗诵作品</w:t>
      </w:r>
      <w:r>
        <w:rPr>
          <w:rFonts w:hint="eastAsia" w:ascii="仿宋_GB2312" w:eastAsia="仿宋_GB2312" w:cs="仿宋_GB2312"/>
          <w:sz w:val="32"/>
          <w:szCs w:val="32"/>
          <w:lang w:val="zh-CN" w:eastAsia="zh-CN"/>
        </w:rPr>
        <w:t>、人员组成（包括指导老师及参赛学生）等基本信息，在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报名表提交</w:t>
      </w:r>
      <w:r>
        <w:rPr>
          <w:rFonts w:hint="eastAsia" w:ascii="仿宋_GB2312" w:eastAsia="仿宋_GB2312" w:cs="仿宋_GB2312"/>
          <w:sz w:val="32"/>
          <w:szCs w:val="32"/>
          <w:lang w:val="zh-CN" w:eastAsia="zh-CN"/>
        </w:rPr>
        <w:t>后，一律不予以修改。</w:t>
      </w:r>
    </w:p>
    <w:p>
      <w:pPr>
        <w:pStyle w:val="9"/>
        <w:spacing w:line="600" w:lineRule="exact"/>
        <w:ind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zh-CN" w:eastAsia="zh-CN"/>
        </w:rPr>
        <w:t>（四）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决赛参赛选手需准备参赛作品幻灯片及背景音乐（电子版），连同推荐表（电子版、纸质版）于12月中旬由参赛队负责人统一提交至秘书处（马克思主义学院四教六楼608室）。</w:t>
      </w:r>
    </w:p>
    <w:p>
      <w:pPr>
        <w:pStyle w:val="9"/>
        <w:spacing w:line="600" w:lineRule="exact"/>
        <w:ind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（五）</w:t>
      </w:r>
      <w:r>
        <w:rPr>
          <w:rFonts w:hint="eastAsia" w:ascii="仿宋_GB2312" w:eastAsia="仿宋_GB2312" w:cs="仿宋_GB2312"/>
          <w:sz w:val="32"/>
          <w:szCs w:val="32"/>
          <w:lang w:val="zh-CN" w:eastAsia="zh-CN"/>
        </w:rPr>
        <w:t>秘书处对收到的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PPT</w:t>
      </w:r>
      <w:r>
        <w:rPr>
          <w:rFonts w:hint="eastAsia" w:ascii="仿宋_GB2312" w:eastAsia="仿宋_GB2312" w:cs="仿宋_GB2312"/>
          <w:sz w:val="32"/>
          <w:szCs w:val="32"/>
          <w:lang w:val="zh-CN" w:eastAsia="zh-CN"/>
        </w:rPr>
        <w:t>参赛作品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进行内容审核，对不符合参赛要求的作品进行筛选，各学院参赛队需指定一位负责学生，随时关注参赛作品审核结果</w:t>
      </w:r>
      <w:r>
        <w:rPr>
          <w:rFonts w:hint="eastAsia" w:ascii="仿宋_GB2312" w:eastAsia="仿宋_GB2312" w:cs="仿宋_GB2312"/>
          <w:sz w:val="32"/>
          <w:szCs w:val="32"/>
          <w:lang w:val="zh-CN" w:eastAsia="zh-CN"/>
        </w:rPr>
        <w:t>。秘书处不承担参赛作品在传送过程中的失败、损坏及其他由不可抗因素在参赛资料的遗失、错误或损毁上的责任，请参赛者自行保存作品原件。</w:t>
      </w:r>
    </w:p>
    <w:p>
      <w:pPr>
        <w:pStyle w:val="9"/>
        <w:spacing w:line="600" w:lineRule="exact"/>
        <w:ind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（六）各学院组织15-30人观看决赛，由各指导教师带队入场。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四、参赛作品要求</w:t>
      </w:r>
    </w:p>
    <w:p>
      <w:pPr>
        <w:pStyle w:val="9"/>
        <w:spacing w:line="600" w:lineRule="exact"/>
        <w:ind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sz w:val="32"/>
          <w:szCs w:val="32"/>
          <w:lang w:val="zh-CN"/>
        </w:rPr>
        <w:t>（一）所有参赛作品必须从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五四运动以来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中国文学史文学作品中自行选取。</w:t>
      </w:r>
    </w:p>
    <w:p>
      <w:pPr>
        <w:pStyle w:val="9"/>
        <w:spacing w:line="600" w:lineRule="exact"/>
        <w:ind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sz w:val="32"/>
          <w:szCs w:val="32"/>
          <w:lang w:val="zh-CN"/>
        </w:rPr>
        <w:t>（二）参赛作品不能含有色情、暴力因素，不能与中华人民共和国法律相抵触。</w:t>
      </w:r>
    </w:p>
    <w:p>
      <w:pPr>
        <w:pStyle w:val="9"/>
        <w:spacing w:line="600" w:lineRule="exact"/>
        <w:ind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sz w:val="32"/>
          <w:szCs w:val="32"/>
          <w:lang w:val="zh-CN"/>
        </w:rPr>
        <w:t>（三）凡提交作品参赛，即被视为接受本细则各项条款。竞赛组织委员会保留对此要求的最终解释权。</w:t>
      </w:r>
    </w:p>
    <w:p>
      <w:pPr>
        <w:pStyle w:val="9"/>
        <w:spacing w:line="600" w:lineRule="exact"/>
        <w:ind w:firstLine="640" w:firstLineChars="200"/>
        <w:jc w:val="both"/>
        <w:rPr>
          <w:rFonts w:ascii="黑体" w:eastAsia="黑体" w:cs="黑体"/>
          <w:color w:val="auto"/>
          <w:sz w:val="32"/>
          <w:szCs w:val="32"/>
        </w:rPr>
      </w:pPr>
      <w:r>
        <w:rPr>
          <w:rFonts w:hint="eastAsia" w:ascii="黑体" w:eastAsia="黑体" w:cs="黑体"/>
          <w:color w:val="auto"/>
          <w:sz w:val="32"/>
          <w:szCs w:val="32"/>
        </w:rPr>
        <w:t>五、竞赛评审打分规则</w:t>
      </w:r>
      <w:r>
        <w:rPr>
          <w:rFonts w:ascii="黑体" w:eastAsia="黑体" w:cs="黑体"/>
          <w:color w:val="auto"/>
          <w:sz w:val="32"/>
          <w:szCs w:val="32"/>
        </w:rPr>
        <w:t xml:space="preserve"> </w:t>
      </w:r>
    </w:p>
    <w:p>
      <w:pPr>
        <w:pStyle w:val="9"/>
        <w:spacing w:line="600" w:lineRule="exact"/>
        <w:ind w:firstLine="360" w:firstLineChars="200"/>
        <w:rPr>
          <w:rFonts w:ascii="黑体" w:eastAsia="黑体" w:cs="黑体"/>
          <w:color w:val="auto"/>
          <w:sz w:val="18"/>
          <w:szCs w:val="18"/>
        </w:rPr>
      </w:pPr>
    </w:p>
    <w:tbl>
      <w:tblPr>
        <w:tblStyle w:val="5"/>
        <w:tblW w:w="863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0"/>
        <w:gridCol w:w="4956"/>
        <w:gridCol w:w="127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400" w:type="dxa"/>
            <w:vAlign w:val="center"/>
          </w:tcPr>
          <w:p>
            <w:pPr>
              <w:pStyle w:val="9"/>
              <w:jc w:val="center"/>
              <w:rPr>
                <w:rFonts w:hint="eastAsia" w:ascii="黑体" w:eastAsia="黑体" w:cs="黑体"/>
                <w:b/>
                <w:sz w:val="23"/>
                <w:szCs w:val="23"/>
              </w:rPr>
            </w:pPr>
            <w:r>
              <w:rPr>
                <w:rFonts w:hint="eastAsia" w:ascii="黑体" w:eastAsia="黑体" w:cs="黑体"/>
                <w:b/>
                <w:sz w:val="23"/>
                <w:szCs w:val="23"/>
              </w:rPr>
              <w:t>评分项目</w:t>
            </w:r>
          </w:p>
          <w:p>
            <w:pPr>
              <w:pStyle w:val="9"/>
              <w:jc w:val="center"/>
              <w:rPr>
                <w:rFonts w:hint="eastAsia" w:ascii="黑体" w:eastAsia="黑体" w:cs="黑体"/>
                <w:b/>
                <w:sz w:val="23"/>
                <w:szCs w:val="23"/>
              </w:rPr>
            </w:pPr>
            <w:r>
              <w:rPr>
                <w:rFonts w:hint="eastAsia" w:ascii="黑体" w:eastAsia="黑体" w:cs="黑体"/>
                <w:b/>
                <w:sz w:val="23"/>
                <w:szCs w:val="23"/>
              </w:rPr>
              <w:t>（可以进一步完善）</w:t>
            </w:r>
          </w:p>
        </w:tc>
        <w:tc>
          <w:tcPr>
            <w:tcW w:w="4956" w:type="dxa"/>
            <w:vAlign w:val="center"/>
          </w:tcPr>
          <w:p>
            <w:pPr>
              <w:pStyle w:val="9"/>
              <w:jc w:val="center"/>
              <w:rPr>
                <w:rFonts w:ascii="黑体" w:eastAsia="黑体" w:cs="黑体"/>
                <w:b/>
                <w:sz w:val="23"/>
                <w:szCs w:val="23"/>
              </w:rPr>
            </w:pPr>
            <w:r>
              <w:rPr>
                <w:rFonts w:hint="eastAsia" w:ascii="黑体" w:eastAsia="黑体" w:cs="黑体"/>
                <w:b/>
                <w:sz w:val="23"/>
                <w:szCs w:val="23"/>
              </w:rPr>
              <w:t>评分说明</w:t>
            </w:r>
          </w:p>
        </w:tc>
        <w:tc>
          <w:tcPr>
            <w:tcW w:w="1276" w:type="dxa"/>
            <w:vAlign w:val="center"/>
          </w:tcPr>
          <w:p>
            <w:pPr>
              <w:pStyle w:val="9"/>
              <w:jc w:val="center"/>
              <w:rPr>
                <w:rFonts w:ascii="黑体" w:eastAsia="黑体" w:cs="黑体"/>
                <w:b/>
                <w:sz w:val="23"/>
                <w:szCs w:val="23"/>
              </w:rPr>
            </w:pPr>
            <w:r>
              <w:rPr>
                <w:rFonts w:hint="eastAsia" w:ascii="黑体" w:eastAsia="黑体" w:cs="黑体"/>
                <w:b/>
                <w:sz w:val="23"/>
                <w:szCs w:val="23"/>
              </w:rPr>
              <w:t>项目分值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400" w:type="dxa"/>
            <w:vAlign w:val="center"/>
          </w:tcPr>
          <w:p>
            <w:pPr>
              <w:pStyle w:val="9"/>
              <w:spacing w:line="600" w:lineRule="exact"/>
              <w:jc w:val="center"/>
              <w:rPr>
                <w:rFonts w:ascii="宋体" w:hAnsi="宋体" w:cs="仿宋_GB2312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color w:val="auto"/>
                <w:sz w:val="21"/>
                <w:szCs w:val="21"/>
              </w:rPr>
              <w:t>内容方面</w:t>
            </w:r>
          </w:p>
        </w:tc>
        <w:tc>
          <w:tcPr>
            <w:tcW w:w="4956" w:type="dxa"/>
            <w:vAlign w:val="center"/>
          </w:tcPr>
          <w:p>
            <w:pPr>
              <w:pStyle w:val="9"/>
              <w:spacing w:line="400" w:lineRule="exact"/>
              <w:jc w:val="left"/>
              <w:rPr>
                <w:rFonts w:ascii="宋体" w:hAnsi="宋体" w:cs="仿宋_GB2312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color w:val="auto"/>
                <w:sz w:val="21"/>
                <w:szCs w:val="21"/>
              </w:rPr>
              <w:t>时间为3-5分钟以内。诵读文章从五四运动以来中国文学史文学作品中自行选取。要求主题鲜明，积极向上，内容充实，言之有物。</w:t>
            </w:r>
          </w:p>
        </w:tc>
        <w:tc>
          <w:tcPr>
            <w:tcW w:w="1276" w:type="dxa"/>
            <w:vAlign w:val="center"/>
          </w:tcPr>
          <w:p>
            <w:pPr>
              <w:pStyle w:val="9"/>
              <w:spacing w:line="600" w:lineRule="exact"/>
              <w:jc w:val="center"/>
              <w:rPr>
                <w:rFonts w:hint="default" w:ascii="宋体" w:hAnsi="宋体" w:eastAsia="宋体" w:cs="仿宋_GB2312"/>
                <w:color w:val="auto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lang w:val="en-US" w:eastAsia="zh-CN"/>
              </w:rPr>
              <w:t>30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400" w:type="dxa"/>
            <w:vAlign w:val="center"/>
          </w:tcPr>
          <w:p>
            <w:pPr>
              <w:pStyle w:val="9"/>
              <w:spacing w:line="400" w:lineRule="exact"/>
              <w:jc w:val="center"/>
              <w:rPr>
                <w:rFonts w:hint="eastAsia" w:ascii="宋体" w:hAnsi="宋体" w:cs="仿宋_GB2312"/>
                <w:color w:val="auto"/>
                <w:sz w:val="21"/>
                <w:szCs w:val="21"/>
              </w:rPr>
            </w:pPr>
            <w:r>
              <w:rPr>
                <w:rFonts w:hint="default" w:ascii="宋体" w:hAnsi="宋体" w:cs="仿宋_GB2312"/>
                <w:color w:val="auto"/>
                <w:sz w:val="21"/>
                <w:szCs w:val="21"/>
                <w:lang w:val="zh-CN"/>
              </w:rPr>
              <w:t>语言表达方面</w:t>
            </w:r>
          </w:p>
        </w:tc>
        <w:tc>
          <w:tcPr>
            <w:tcW w:w="4956" w:type="dxa"/>
            <w:vAlign w:val="center"/>
          </w:tcPr>
          <w:p>
            <w:pPr>
              <w:pStyle w:val="9"/>
              <w:spacing w:line="400" w:lineRule="exact"/>
              <w:jc w:val="left"/>
              <w:rPr>
                <w:rFonts w:hint="eastAsia" w:ascii="宋体" w:hAnsi="宋体" w:cs="仿宋_GB2312"/>
                <w:color w:val="auto"/>
                <w:sz w:val="21"/>
                <w:szCs w:val="21"/>
              </w:rPr>
            </w:pPr>
            <w:r>
              <w:rPr>
                <w:rFonts w:hint="default" w:ascii="宋体" w:hAnsi="宋体" w:cs="仿宋_GB2312"/>
                <w:color w:val="auto"/>
                <w:sz w:val="21"/>
                <w:szCs w:val="21"/>
                <w:lang w:val="zh-CN"/>
              </w:rPr>
              <w:t>发音准确，诵读流畅，叙述生动，富有真情实感。</w:t>
            </w:r>
          </w:p>
        </w:tc>
        <w:tc>
          <w:tcPr>
            <w:tcW w:w="1276" w:type="dxa"/>
            <w:vAlign w:val="center"/>
          </w:tcPr>
          <w:p>
            <w:pPr>
              <w:pStyle w:val="9"/>
              <w:spacing w:line="600" w:lineRule="exact"/>
              <w:jc w:val="center"/>
              <w:rPr>
                <w:rFonts w:hint="default" w:ascii="宋体" w:hAnsi="宋体" w:eastAsia="宋体" w:cs="仿宋_GB2312"/>
                <w:color w:val="auto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lang w:val="en-US" w:eastAsia="zh-CN"/>
              </w:rPr>
              <w:t>40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400" w:type="dxa"/>
            <w:vAlign w:val="center"/>
          </w:tcPr>
          <w:p>
            <w:pPr>
              <w:pStyle w:val="9"/>
              <w:spacing w:line="600" w:lineRule="exact"/>
              <w:ind w:firstLine="420" w:firstLineChars="200"/>
              <w:jc w:val="center"/>
              <w:rPr>
                <w:rFonts w:ascii="宋体" w:hAnsi="宋体" w:cs="仿宋_GB2312"/>
                <w:b/>
                <w:color w:val="auto"/>
                <w:sz w:val="21"/>
                <w:szCs w:val="21"/>
              </w:rPr>
            </w:pPr>
            <w:r>
              <w:rPr>
                <w:rFonts w:hint="default" w:ascii="宋体" w:hAnsi="宋体" w:cs="仿宋_GB2312"/>
                <w:color w:val="auto"/>
                <w:sz w:val="21"/>
                <w:szCs w:val="21"/>
                <w:lang w:val="zh-CN"/>
              </w:rPr>
              <w:t>形象展示方面</w:t>
            </w:r>
          </w:p>
        </w:tc>
        <w:tc>
          <w:tcPr>
            <w:tcW w:w="4956" w:type="dxa"/>
            <w:vAlign w:val="center"/>
          </w:tcPr>
          <w:p>
            <w:pPr>
              <w:pStyle w:val="9"/>
              <w:spacing w:line="400" w:lineRule="exact"/>
              <w:jc w:val="left"/>
              <w:rPr>
                <w:rFonts w:ascii="宋体" w:hAnsi="宋体" w:cs="仿宋_GB2312"/>
                <w:color w:val="auto"/>
                <w:sz w:val="21"/>
                <w:szCs w:val="21"/>
              </w:rPr>
            </w:pPr>
            <w:r>
              <w:rPr>
                <w:rFonts w:hint="default" w:ascii="宋体" w:hAnsi="宋体" w:cs="仿宋_GB2312"/>
                <w:color w:val="auto"/>
                <w:sz w:val="21"/>
                <w:szCs w:val="21"/>
                <w:lang w:val="zh-CN"/>
              </w:rPr>
              <w:t>组织形式新颖，仪表端庄，动作自然，声情并茂，不超时，展示良好精神风貌。</w:t>
            </w:r>
          </w:p>
        </w:tc>
        <w:tc>
          <w:tcPr>
            <w:tcW w:w="1276" w:type="dxa"/>
            <w:vAlign w:val="center"/>
          </w:tcPr>
          <w:p>
            <w:pPr>
              <w:pStyle w:val="9"/>
              <w:spacing w:line="600" w:lineRule="exact"/>
              <w:jc w:val="center"/>
              <w:rPr>
                <w:rFonts w:hint="default" w:ascii="宋体" w:hAnsi="宋体" w:eastAsia="宋体" w:cs="仿宋_GB2312"/>
                <w:color w:val="auto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lang w:val="en-US" w:eastAsia="zh-CN"/>
              </w:rPr>
              <w:t>20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400" w:type="dxa"/>
            <w:vAlign w:val="center"/>
          </w:tcPr>
          <w:p>
            <w:pPr>
              <w:pStyle w:val="9"/>
              <w:spacing w:line="600" w:lineRule="exact"/>
              <w:ind w:firstLine="420" w:firstLineChars="200"/>
              <w:jc w:val="center"/>
              <w:rPr>
                <w:rFonts w:ascii="宋体" w:hAnsi="宋体" w:cs="仿宋_GB2312"/>
                <w:b/>
                <w:color w:val="auto"/>
                <w:sz w:val="21"/>
                <w:szCs w:val="21"/>
              </w:rPr>
            </w:pPr>
            <w:r>
              <w:rPr>
                <w:rFonts w:hint="default" w:ascii="宋体" w:hAnsi="宋体" w:cs="仿宋_GB2312"/>
                <w:color w:val="auto"/>
                <w:sz w:val="21"/>
                <w:szCs w:val="21"/>
                <w:lang w:val="zh-CN"/>
              </w:rPr>
              <w:t>综合印象方面</w:t>
            </w:r>
          </w:p>
        </w:tc>
        <w:tc>
          <w:tcPr>
            <w:tcW w:w="4956" w:type="dxa"/>
            <w:vAlign w:val="center"/>
          </w:tcPr>
          <w:p>
            <w:pPr>
              <w:pStyle w:val="9"/>
              <w:spacing w:line="400" w:lineRule="exact"/>
              <w:jc w:val="left"/>
              <w:rPr>
                <w:rFonts w:ascii="宋体" w:hAnsi="宋体" w:cs="仿宋_GB2312"/>
                <w:color w:val="auto"/>
                <w:sz w:val="21"/>
                <w:szCs w:val="21"/>
              </w:rPr>
            </w:pPr>
            <w:r>
              <w:rPr>
                <w:rFonts w:hint="default" w:ascii="宋体" w:hAnsi="宋体" w:cs="仿宋_GB2312"/>
                <w:color w:val="auto"/>
                <w:sz w:val="21"/>
                <w:szCs w:val="21"/>
                <w:lang w:val="zh-CN"/>
              </w:rPr>
              <w:t>由评委根据选手的临场表现做出综合评价</w:t>
            </w:r>
          </w:p>
        </w:tc>
        <w:tc>
          <w:tcPr>
            <w:tcW w:w="1276" w:type="dxa"/>
            <w:vAlign w:val="center"/>
          </w:tcPr>
          <w:p>
            <w:pPr>
              <w:pStyle w:val="9"/>
              <w:spacing w:line="600" w:lineRule="exact"/>
              <w:jc w:val="center"/>
              <w:rPr>
                <w:rFonts w:hint="default" w:ascii="宋体" w:hAnsi="宋体" w:eastAsia="宋体" w:cs="仿宋_GB2312"/>
                <w:color w:val="auto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lang w:val="en-US" w:eastAsia="zh-CN"/>
              </w:rPr>
              <w:t>10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400" w:type="dxa"/>
            <w:vAlign w:val="center"/>
          </w:tcPr>
          <w:p>
            <w:pPr>
              <w:pStyle w:val="9"/>
              <w:spacing w:line="600" w:lineRule="exact"/>
              <w:ind w:firstLine="422" w:firstLineChars="200"/>
              <w:jc w:val="center"/>
              <w:rPr>
                <w:rFonts w:ascii="宋体" w:hAnsi="宋体" w:cs="仿宋_GB2312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1"/>
                <w:szCs w:val="21"/>
              </w:rPr>
              <w:t>得分合计</w:t>
            </w:r>
          </w:p>
        </w:tc>
        <w:tc>
          <w:tcPr>
            <w:tcW w:w="6232" w:type="dxa"/>
            <w:gridSpan w:val="2"/>
            <w:vAlign w:val="center"/>
          </w:tcPr>
          <w:p>
            <w:pPr>
              <w:pStyle w:val="9"/>
              <w:spacing w:line="600" w:lineRule="exact"/>
              <w:ind w:firstLine="420" w:firstLineChars="200"/>
              <w:jc w:val="center"/>
              <w:rPr>
                <w:rFonts w:ascii="宋体" w:hAnsi="宋体" w:cs="仿宋_GB2312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color w:val="auto"/>
                <w:sz w:val="21"/>
                <w:szCs w:val="21"/>
              </w:rPr>
              <w:t>100</w:t>
            </w:r>
          </w:p>
        </w:tc>
      </w:tr>
    </w:tbl>
    <w:p>
      <w:pPr>
        <w:autoSpaceDE w:val="0"/>
        <w:autoSpaceDN w:val="0"/>
        <w:adjustRightInd w:val="0"/>
        <w:spacing w:line="600" w:lineRule="exact"/>
        <w:jc w:val="left"/>
        <w:rPr>
          <w:rFonts w:asci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roman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3E5"/>
    <w:rsid w:val="000173E5"/>
    <w:rsid w:val="000334C1"/>
    <w:rsid w:val="000866F2"/>
    <w:rsid w:val="00163C79"/>
    <w:rsid w:val="002A1D26"/>
    <w:rsid w:val="00361A78"/>
    <w:rsid w:val="0038792F"/>
    <w:rsid w:val="003D7561"/>
    <w:rsid w:val="004227A6"/>
    <w:rsid w:val="004259BF"/>
    <w:rsid w:val="00437180"/>
    <w:rsid w:val="0069482A"/>
    <w:rsid w:val="006A5BF1"/>
    <w:rsid w:val="006E4967"/>
    <w:rsid w:val="006E6A2A"/>
    <w:rsid w:val="007831CF"/>
    <w:rsid w:val="008006B8"/>
    <w:rsid w:val="00835BFF"/>
    <w:rsid w:val="009000A7"/>
    <w:rsid w:val="0096315E"/>
    <w:rsid w:val="009745E4"/>
    <w:rsid w:val="00A22030"/>
    <w:rsid w:val="00B26F61"/>
    <w:rsid w:val="00B56108"/>
    <w:rsid w:val="00BD0DB7"/>
    <w:rsid w:val="00CA3FA2"/>
    <w:rsid w:val="00F47A47"/>
    <w:rsid w:val="00F56B45"/>
    <w:rsid w:val="0A5B732C"/>
    <w:rsid w:val="0DC920ED"/>
    <w:rsid w:val="1ED67C7C"/>
    <w:rsid w:val="1F156060"/>
    <w:rsid w:val="218C2503"/>
    <w:rsid w:val="26FF73CA"/>
    <w:rsid w:val="39FC7A30"/>
    <w:rsid w:val="3D5E3B88"/>
    <w:rsid w:val="42340EEB"/>
    <w:rsid w:val="44C05928"/>
    <w:rsid w:val="453000F8"/>
    <w:rsid w:val="582D4383"/>
    <w:rsid w:val="5F5C528F"/>
    <w:rsid w:val="66B70206"/>
    <w:rsid w:val="6AC90EB6"/>
    <w:rsid w:val="72680220"/>
    <w:rsid w:val="7833427E"/>
    <w:rsid w:val="7EEF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Calibr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314</Words>
  <Characters>1793</Characters>
  <Lines>14</Lines>
  <Paragraphs>4</Paragraphs>
  <TotalTime>0</TotalTime>
  <ScaleCrop>false</ScaleCrop>
  <LinksUpToDate>false</LinksUpToDate>
  <CharactersWithSpaces>2103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2019-03-19T14:49:00Z</dcterms:created>
  <dc:creator>文泽华</dc:creator>
  <cp:lastModifiedBy>LED</cp:lastModifiedBy>
  <cp:lastPrinted>2019-03-20T02:41:00Z</cp:lastPrinted>
  <dcterms:modified xsi:type="dcterms:W3CDTF">2019-12-03T02:49:13Z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